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0C" w:rsidRDefault="0009220C" w:rsidP="00503C28">
      <w:pPr>
        <w:pStyle w:val="Sansinterligne"/>
        <w:jc w:val="center"/>
        <w:rPr>
          <w:u w:color="231F20"/>
        </w:rPr>
      </w:pPr>
    </w:p>
    <w:p w:rsidR="00503C28" w:rsidRDefault="00503C28" w:rsidP="00503C28">
      <w:pPr>
        <w:pStyle w:val="Sansinterligne"/>
        <w:jc w:val="center"/>
        <w:rPr>
          <w:u w:color="231F20"/>
        </w:rPr>
      </w:pPr>
      <w:r>
        <w:rPr>
          <w:u w:color="231F20"/>
        </w:rPr>
        <w:t>FACTURE</w:t>
      </w:r>
    </w:p>
    <w:p w:rsidR="00503C28" w:rsidRDefault="00503C28">
      <w:pPr>
        <w:pStyle w:val="Titre2"/>
        <w:numPr>
          <w:ilvl w:val="0"/>
          <w:numId w:val="0"/>
        </w:numPr>
        <w:spacing w:after="0"/>
        <w:ind w:right="3153"/>
        <w:jc w:val="right"/>
        <w:rPr>
          <w:b w:val="0"/>
          <w:sz w:val="20"/>
          <w:u w:val="single" w:color="231F20"/>
        </w:rPr>
      </w:pPr>
    </w:p>
    <w:p w:rsidR="00E06AC9" w:rsidRDefault="00F53E0A">
      <w:pPr>
        <w:pStyle w:val="Titre2"/>
        <w:numPr>
          <w:ilvl w:val="0"/>
          <w:numId w:val="0"/>
        </w:numPr>
        <w:spacing w:after="0"/>
        <w:ind w:right="3153"/>
        <w:jc w:val="right"/>
      </w:pPr>
      <w:r>
        <w:rPr>
          <w:b w:val="0"/>
          <w:sz w:val="20"/>
          <w:u w:val="single" w:color="231F20"/>
        </w:rPr>
        <w:t xml:space="preserve">Par courrier enregistré No. </w:t>
      </w:r>
      <w:r w:rsidR="00EE7A36">
        <w:rPr>
          <w:b w:val="0"/>
          <w:i/>
          <w:sz w:val="20"/>
          <w:u w:val="single" w:color="231F20"/>
        </w:rPr>
        <w:t>000</w:t>
      </w:r>
      <w:r w:rsidR="0015027A">
        <w:rPr>
          <w:b w:val="0"/>
          <w:i/>
          <w:sz w:val="20"/>
          <w:u w:val="single" w:color="231F20"/>
        </w:rPr>
        <w:t>2</w:t>
      </w:r>
      <w:r w:rsidR="00EE7A36">
        <w:rPr>
          <w:b w:val="0"/>
          <w:i/>
          <w:sz w:val="20"/>
          <w:u w:val="single" w:color="231F20"/>
        </w:rPr>
        <w:t>-</w:t>
      </w:r>
      <w:r w:rsidR="0015027A">
        <w:rPr>
          <w:b w:val="0"/>
          <w:i/>
          <w:sz w:val="20"/>
          <w:u w:val="single" w:color="231F20"/>
        </w:rPr>
        <w:t>1704</w:t>
      </w:r>
      <w:r w:rsidR="00EE7A36">
        <w:rPr>
          <w:b w:val="0"/>
          <w:i/>
          <w:sz w:val="20"/>
          <w:u w:val="single" w:color="231F20"/>
        </w:rPr>
        <w:t>1</w:t>
      </w:r>
      <w:r w:rsidR="0015027A">
        <w:rPr>
          <w:b w:val="0"/>
          <w:i/>
          <w:sz w:val="20"/>
          <w:u w:val="single" w:color="231F20"/>
        </w:rPr>
        <w:t>8</w:t>
      </w:r>
    </w:p>
    <w:tbl>
      <w:tblPr>
        <w:tblStyle w:val="TableGrid"/>
        <w:tblW w:w="9862" w:type="dxa"/>
        <w:tblInd w:w="-71" w:type="dxa"/>
        <w:tblCellMar>
          <w:top w:w="114" w:type="dxa"/>
          <w:left w:w="71" w:type="dxa"/>
          <w:bottom w:w="78" w:type="dxa"/>
          <w:right w:w="18" w:type="dxa"/>
        </w:tblCellMar>
        <w:tblLook w:val="04A0" w:firstRow="1" w:lastRow="0" w:firstColumn="1" w:lastColumn="0" w:noHBand="0" w:noVBand="1"/>
      </w:tblPr>
      <w:tblGrid>
        <w:gridCol w:w="556"/>
        <w:gridCol w:w="4419"/>
        <w:gridCol w:w="2116"/>
        <w:gridCol w:w="1078"/>
        <w:gridCol w:w="551"/>
        <w:gridCol w:w="1142"/>
      </w:tblGrid>
      <w:tr w:rsidR="00E06AC9">
        <w:trPr>
          <w:trHeight w:val="404"/>
        </w:trPr>
        <w:tc>
          <w:tcPr>
            <w:tcW w:w="49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3"/>
          </w:tcPr>
          <w:p w:rsidR="00E06AC9" w:rsidRDefault="00F53E0A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Facturé à : </w:t>
            </w:r>
          </w:p>
        </w:tc>
        <w:tc>
          <w:tcPr>
            <w:tcW w:w="488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3"/>
          </w:tcPr>
          <w:p w:rsidR="00E06AC9" w:rsidRDefault="00F53E0A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 xml:space="preserve">Payable à : </w:t>
            </w:r>
          </w:p>
        </w:tc>
      </w:tr>
      <w:tr w:rsidR="00E06AC9">
        <w:trPr>
          <w:trHeight w:val="1536"/>
        </w:trPr>
        <w:tc>
          <w:tcPr>
            <w:tcW w:w="49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Répondant</w:t>
            </w:r>
            <w:r>
              <w:t xml:space="preserve"> : </w:t>
            </w:r>
          </w:p>
          <w:p w:rsidR="00E06AC9" w:rsidRPr="00EE7A36" w:rsidRDefault="00E06AC9" w:rsidP="00EE7A36">
            <w:pPr>
              <w:spacing w:after="0" w:line="259" w:lineRule="auto"/>
              <w:ind w:left="0" w:right="0" w:firstLine="0"/>
              <w:rPr>
                <w:i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Proposant</w:t>
            </w:r>
            <w:r>
              <w:t xml:space="preserve"> : </w:t>
            </w:r>
          </w:p>
          <w:p w:rsidR="00E06AC9" w:rsidRDefault="00E06AC9" w:rsidP="00C1292D">
            <w:pPr>
              <w:spacing w:after="0" w:line="259" w:lineRule="auto"/>
              <w:ind w:left="1" w:right="0" w:firstLine="0"/>
            </w:pPr>
          </w:p>
        </w:tc>
      </w:tr>
      <w:tr w:rsidR="00E06AC9">
        <w:trPr>
          <w:trHeight w:val="504"/>
        </w:trPr>
        <w:tc>
          <w:tcPr>
            <w:tcW w:w="49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06AC9" w:rsidRDefault="00F53E0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Termes de paiement :   </w:t>
            </w:r>
            <w:r>
              <w:t xml:space="preserve">14 jours de calendrier </w:t>
            </w:r>
          </w:p>
        </w:tc>
        <w:tc>
          <w:tcPr>
            <w:tcW w:w="488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06AC9" w:rsidRDefault="00F53E0A" w:rsidP="0015027A">
            <w:pPr>
              <w:tabs>
                <w:tab w:val="center" w:pos="1968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:</w:t>
            </w:r>
            <w:r w:rsidR="00C1292D">
              <w:rPr>
                <w:b/>
              </w:rPr>
              <w:t xml:space="preserve">   </w:t>
            </w:r>
            <w:r w:rsidR="0015027A">
              <w:t>17</w:t>
            </w:r>
            <w:r>
              <w:t xml:space="preserve"> </w:t>
            </w:r>
            <w:r w:rsidR="0015027A">
              <w:t>avril 2018</w:t>
            </w:r>
            <w:r>
              <w:t xml:space="preserve"> </w:t>
            </w:r>
          </w:p>
        </w:tc>
      </w:tr>
      <w:tr w:rsidR="00E06AC9">
        <w:trPr>
          <w:trHeight w:val="2704"/>
        </w:trPr>
        <w:tc>
          <w:tcPr>
            <w:tcW w:w="986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06AC9" w:rsidRDefault="00F53E0A">
            <w:pPr>
              <w:spacing w:after="121" w:line="239" w:lineRule="auto"/>
              <w:ind w:left="0" w:right="0" w:firstLine="0"/>
            </w:pPr>
            <w:r>
              <w:rPr>
                <w:b/>
              </w:rPr>
              <w:t>Attendu que :</w:t>
            </w:r>
            <w:r>
              <w:t xml:space="preserve"> la forclusion et la saisie des banques et des gouvernements est un fait enregistré et non réfuté (DÉCLARATION DES FAITS : UCC Doc # 2012127914, Nov. 28, 2012) ; </w:t>
            </w:r>
            <w:hyperlink r:id="rId7" w:history="1">
              <w:r w:rsidR="00D40BD2" w:rsidRPr="00A942AE">
                <w:rPr>
                  <w:rStyle w:val="Lienhypertexte"/>
                </w:rPr>
                <w:t>https://countyfusion4.kofiletech.us/countyweb/login.do?countyname=WashingtonDC</w:t>
              </w:r>
            </w:hyperlink>
            <w:r w:rsidR="00D40BD2">
              <w:t xml:space="preserve"> </w:t>
            </w:r>
          </w:p>
          <w:p w:rsidR="00E06AC9" w:rsidRDefault="00F53E0A">
            <w:pPr>
              <w:spacing w:after="119" w:line="240" w:lineRule="auto"/>
              <w:ind w:left="0" w:right="26" w:firstLine="0"/>
            </w:pPr>
            <w:r>
              <w:rPr>
                <w:b/>
              </w:rPr>
              <w:t>Attendu que :</w:t>
            </w:r>
            <w:r>
              <w:t xml:space="preserve"> aucune Réponse Suffisamment Vérifiée n’a été fournie par le Répondant à l’effet qu’il existe un contrat légitime liant les parties nommées ci-haut ; </w:t>
            </w:r>
          </w:p>
          <w:p w:rsidR="00E06AC9" w:rsidRDefault="00F53E0A">
            <w:pPr>
              <w:spacing w:after="120" w:line="240" w:lineRule="auto"/>
              <w:ind w:left="0" w:right="0" w:firstLine="0"/>
            </w:pPr>
            <w:r>
              <w:rPr>
                <w:b/>
              </w:rPr>
              <w:t>Attendu que :</w:t>
            </w:r>
            <w:r>
              <w:t xml:space="preserve"> les Termes et Conditions No. </w:t>
            </w:r>
            <w:bookmarkStart w:id="0" w:name="_GoBack"/>
            <w:r w:rsidR="00B17F26" w:rsidRPr="00B17F26">
              <w:rPr>
                <w:i/>
              </w:rPr>
              <w:t>000</w:t>
            </w:r>
            <w:r w:rsidR="0015027A">
              <w:rPr>
                <w:i/>
              </w:rPr>
              <w:t>2</w:t>
            </w:r>
            <w:r w:rsidR="00B17F26" w:rsidRPr="00B17F26">
              <w:rPr>
                <w:i/>
              </w:rPr>
              <w:t>-0</w:t>
            </w:r>
            <w:r w:rsidR="007F2250">
              <w:rPr>
                <w:i/>
              </w:rPr>
              <w:t>9</w:t>
            </w:r>
            <w:r w:rsidR="00B17F26" w:rsidRPr="00B17F26">
              <w:rPr>
                <w:i/>
              </w:rPr>
              <w:t>0</w:t>
            </w:r>
            <w:r w:rsidR="007F2250">
              <w:rPr>
                <w:i/>
              </w:rPr>
              <w:t>2</w:t>
            </w:r>
            <w:r w:rsidR="00B17F26" w:rsidRPr="00B17F26">
              <w:rPr>
                <w:i/>
              </w:rPr>
              <w:t>1</w:t>
            </w:r>
            <w:r w:rsidR="007F2250">
              <w:rPr>
                <w:i/>
              </w:rPr>
              <w:t>8</w:t>
            </w:r>
            <w:bookmarkEnd w:id="0"/>
            <w:r>
              <w:t xml:space="preserve"> ont été offertes par le Proposant et que les méthodes d’acceptation y ont été clairement définies ; </w:t>
            </w:r>
          </w:p>
          <w:p w:rsidR="00E06AC9" w:rsidRPr="00D536B0" w:rsidRDefault="00F53E0A" w:rsidP="007F2250">
            <w:pPr>
              <w:spacing w:after="0" w:line="259" w:lineRule="auto"/>
              <w:ind w:left="0" w:right="0" w:firstLine="0"/>
              <w:rPr>
                <w:i/>
              </w:rPr>
            </w:pPr>
            <w:r>
              <w:rPr>
                <w:b/>
              </w:rPr>
              <w:t>En conséquence</w:t>
            </w:r>
            <w:r>
              <w:t xml:space="preserve">, le Répondant est facturé en raison de ses actions décrites ci-après : </w:t>
            </w:r>
            <w:r w:rsidR="00D536B0">
              <w:rPr>
                <w:i/>
              </w:rPr>
              <w:t xml:space="preserve">Le Répondant est </w:t>
            </w:r>
            <w:r w:rsidR="000260AA" w:rsidRPr="000260AA">
              <w:rPr>
                <w:i/>
              </w:rPr>
              <w:t xml:space="preserve">facturé suite à l’envoi d’une réclamation datée du </w:t>
            </w:r>
            <w:r w:rsidR="007F2250">
              <w:rPr>
                <w:i/>
              </w:rPr>
              <w:t>03</w:t>
            </w:r>
            <w:r w:rsidR="004D2466">
              <w:rPr>
                <w:i/>
              </w:rPr>
              <w:t xml:space="preserve"> </w:t>
            </w:r>
            <w:r w:rsidR="007F2250">
              <w:rPr>
                <w:i/>
              </w:rPr>
              <w:t>avril 2018</w:t>
            </w:r>
            <w:r w:rsidR="00D536B0">
              <w:rPr>
                <w:i/>
              </w:rPr>
              <w:t xml:space="preserve"> après </w:t>
            </w:r>
            <w:r w:rsidR="000260AA" w:rsidRPr="000260AA">
              <w:rPr>
                <w:i/>
              </w:rPr>
              <w:t xml:space="preserve">réception </w:t>
            </w:r>
            <w:r w:rsidR="00D536B0">
              <w:rPr>
                <w:i/>
              </w:rPr>
              <w:t xml:space="preserve">de l’Avis de Courtoisie reçu le </w:t>
            </w:r>
            <w:r w:rsidR="00BB624D">
              <w:rPr>
                <w:i/>
              </w:rPr>
              <w:t>0</w:t>
            </w:r>
            <w:r w:rsidR="007F2250">
              <w:rPr>
                <w:i/>
              </w:rPr>
              <w:t>9 février 2018</w:t>
            </w:r>
            <w:r w:rsidR="000260AA" w:rsidRPr="000260AA">
              <w:rPr>
                <w:i/>
              </w:rPr>
              <w:t xml:space="preserve">, pour la poursuite </w:t>
            </w:r>
            <w:r w:rsidR="00D536B0">
              <w:rPr>
                <w:i/>
              </w:rPr>
              <w:t xml:space="preserve">de ses actions en contravention </w:t>
            </w:r>
            <w:r w:rsidR="000260AA" w:rsidRPr="000260AA">
              <w:rPr>
                <w:i/>
              </w:rPr>
              <w:t>avec l’item 1 de la Cédule A : [ toute réclamation en l’absence d’un contr</w:t>
            </w:r>
            <w:r w:rsidR="00DE5F4F">
              <w:rPr>
                <w:i/>
              </w:rPr>
              <w:t xml:space="preserve">at légitime liant les parties ] et de l’item 2 de la </w:t>
            </w:r>
            <w:proofErr w:type="spellStart"/>
            <w:r w:rsidR="00DE5F4F">
              <w:rPr>
                <w:i/>
              </w:rPr>
              <w:t>Cécule</w:t>
            </w:r>
            <w:proofErr w:type="spellEnd"/>
            <w:r w:rsidR="00DE5F4F">
              <w:rPr>
                <w:i/>
              </w:rPr>
              <w:t xml:space="preserve"> A : [ </w:t>
            </w:r>
            <w:r w:rsidR="00DE5F4F" w:rsidRPr="00DE5F4F">
              <w:rPr>
                <w:i/>
              </w:rPr>
              <w:t>Exécuter ou tenter d’exécuter tout instrument de dette émis par une entité corporative forclose</w:t>
            </w:r>
            <w:r w:rsidRPr="00DE5F4F">
              <w:rPr>
                <w:i/>
              </w:rPr>
              <w:t xml:space="preserve"> </w:t>
            </w:r>
            <w:r w:rsidR="00DE5F4F" w:rsidRPr="00DE5F4F">
              <w:rPr>
                <w:i/>
              </w:rPr>
              <w:t>]</w:t>
            </w:r>
            <w:r w:rsidR="00DE5F4F">
              <w:t xml:space="preserve"> </w:t>
            </w:r>
            <w:r>
              <w:t xml:space="preserve">dans la continuation de ses actes sans fondement et tel que prévu dans les Termes et Conditions désignés précédemment.  </w:t>
            </w:r>
          </w:p>
        </w:tc>
      </w:tr>
      <w:tr w:rsidR="00E06AC9">
        <w:trPr>
          <w:trHeight w:val="361"/>
        </w:trPr>
        <w:tc>
          <w:tcPr>
            <w:tcW w:w="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22" w:right="0" w:firstLine="0"/>
            </w:pPr>
            <w:r>
              <w:rPr>
                <w:b/>
                <w:sz w:val="18"/>
              </w:rPr>
              <w:t xml:space="preserve">Item </w:t>
            </w:r>
          </w:p>
        </w:tc>
        <w:tc>
          <w:tcPr>
            <w:tcW w:w="6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38" w:right="0" w:firstLine="0"/>
            </w:pPr>
            <w:r>
              <w:rPr>
                <w:b/>
                <w:sz w:val="18"/>
              </w:rPr>
              <w:t xml:space="preserve">Description 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8"/>
              </w:rPr>
              <w:t xml:space="preserve">Tarif 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54" w:right="0" w:firstLine="0"/>
            </w:pPr>
            <w:proofErr w:type="spellStart"/>
            <w:r>
              <w:rPr>
                <w:b/>
                <w:sz w:val="18"/>
              </w:rPr>
              <w:t>Qté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Montant </w:t>
            </w:r>
          </w:p>
        </w:tc>
      </w:tr>
      <w:tr w:rsidR="00E06AC9">
        <w:trPr>
          <w:trHeight w:val="360"/>
        </w:trPr>
        <w:tc>
          <w:tcPr>
            <w:tcW w:w="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37" w:right="0" w:firstLine="0"/>
            </w:pPr>
            <w:r>
              <w:rPr>
                <w:sz w:val="18"/>
              </w:rPr>
              <w:t xml:space="preserve">Toute réclamation en l’absence d’un contrat légitime liant les parties 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2,000 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 xml:space="preserve">2,000 </w:t>
            </w:r>
          </w:p>
        </w:tc>
      </w:tr>
      <w:tr w:rsidR="00E06AC9">
        <w:trPr>
          <w:trHeight w:val="569"/>
        </w:trPr>
        <w:tc>
          <w:tcPr>
            <w:tcW w:w="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37" w:right="0" w:firstLine="0"/>
            </w:pPr>
            <w:r>
              <w:rPr>
                <w:sz w:val="18"/>
              </w:rPr>
              <w:t xml:space="preserve">Exécuter ou tenter d’exécuter tout instrument de dette émis par une entité corporative en forclusion et/ou saisie 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DE5F4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>2</w:t>
            </w:r>
            <w:r w:rsidR="00F53E0A">
              <w:rPr>
                <w:sz w:val="18"/>
              </w:rPr>
              <w:t xml:space="preserve">,000 </w:t>
            </w:r>
          </w:p>
        </w:tc>
        <w:tc>
          <w:tcPr>
            <w:tcW w:w="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BA4D3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>1</w:t>
            </w:r>
            <w:r w:rsidR="00F53E0A">
              <w:rPr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DE5F4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>2</w:t>
            </w:r>
            <w:r w:rsidR="00F53E0A">
              <w:rPr>
                <w:sz w:val="18"/>
              </w:rPr>
              <w:t xml:space="preserve">,000 </w:t>
            </w:r>
          </w:p>
        </w:tc>
      </w:tr>
      <w:tr w:rsidR="00E06AC9">
        <w:trPr>
          <w:trHeight w:val="384"/>
        </w:trPr>
        <w:tc>
          <w:tcPr>
            <w:tcW w:w="871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F53E0A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 xml:space="preserve">Nombre Total (d’once </w:t>
            </w:r>
            <w:proofErr w:type="spellStart"/>
            <w:r>
              <w:rPr>
                <w:b/>
              </w:rPr>
              <w:t>troy</w:t>
            </w:r>
            <w:proofErr w:type="spellEnd"/>
            <w:r>
              <w:rPr>
                <w:b/>
              </w:rPr>
              <w:t xml:space="preserve"> d’argent 99.9% pur payable) </w:t>
            </w:r>
          </w:p>
        </w:tc>
        <w:tc>
          <w:tcPr>
            <w:tcW w:w="11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6AC9" w:rsidRDefault="00DE5F4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4</w:t>
            </w:r>
            <w:r w:rsidR="00F53E0A">
              <w:rPr>
                <w:b/>
              </w:rPr>
              <w:t>,000</w:t>
            </w:r>
          </w:p>
        </w:tc>
      </w:tr>
      <w:tr w:rsidR="00E06AC9">
        <w:trPr>
          <w:trHeight w:val="3955"/>
        </w:trPr>
        <w:tc>
          <w:tcPr>
            <w:tcW w:w="9862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06AC9" w:rsidRDefault="00F53E0A">
            <w:pPr>
              <w:spacing w:after="80" w:line="259" w:lineRule="auto"/>
              <w:ind w:left="0" w:right="0" w:firstLine="0"/>
            </w:pPr>
            <w:r>
              <w:rPr>
                <w:b/>
                <w:sz w:val="22"/>
                <w:u w:val="single" w:color="231F20"/>
              </w:rPr>
              <w:t>Avis de Renonciation</w:t>
            </w:r>
          </w:p>
          <w:p w:rsidR="00E06AC9" w:rsidRDefault="00F53E0A">
            <w:pPr>
              <w:spacing w:after="95" w:line="259" w:lineRule="auto"/>
              <w:ind w:left="0" w:right="0" w:firstLine="0"/>
            </w:pPr>
            <w:r>
              <w:rPr>
                <w:b/>
                <w:u w:val="single" w:color="231F20"/>
              </w:rPr>
              <w:t>Si</w:t>
            </w:r>
            <w:r>
              <w:t xml:space="preserve"> dans les quatorze (14) jours de calendrier suivant la réception de </w:t>
            </w:r>
            <w:r w:rsidR="00BB624D">
              <w:t>cette</w:t>
            </w:r>
            <w:r>
              <w:t xml:space="preserve"> facture par le Répondant : </w:t>
            </w:r>
          </w:p>
          <w:p w:rsidR="00E06AC9" w:rsidRDefault="00F53E0A">
            <w:pPr>
              <w:numPr>
                <w:ilvl w:val="0"/>
                <w:numId w:val="2"/>
              </w:numPr>
              <w:spacing w:after="56" w:line="245" w:lineRule="auto"/>
              <w:ind w:right="209" w:hanging="360"/>
            </w:pPr>
            <w:r>
              <w:t xml:space="preserve">le Répondant est en mesure de fournir une Réponse Suffisamment Vérifiable à l’effet qu’il existe un contrat légitime liant les parties nommées ci-haut tel que requis dans les Termes et Conditions identifiées sous le No. </w:t>
            </w:r>
            <w:r w:rsidR="00EE7A36" w:rsidRPr="00B17F26">
              <w:rPr>
                <w:i/>
              </w:rPr>
              <w:t>000</w:t>
            </w:r>
            <w:r w:rsidR="00D40BD2">
              <w:rPr>
                <w:i/>
              </w:rPr>
              <w:t>2</w:t>
            </w:r>
            <w:r w:rsidR="00EE7A36" w:rsidRPr="00B17F26">
              <w:rPr>
                <w:i/>
              </w:rPr>
              <w:t>-0</w:t>
            </w:r>
            <w:r w:rsidR="00D40BD2">
              <w:rPr>
                <w:i/>
              </w:rPr>
              <w:t>9</w:t>
            </w:r>
            <w:r w:rsidR="00EE7A36" w:rsidRPr="00B17F26">
              <w:rPr>
                <w:i/>
              </w:rPr>
              <w:t>0</w:t>
            </w:r>
            <w:r w:rsidR="00D40BD2">
              <w:rPr>
                <w:i/>
              </w:rPr>
              <w:t>2</w:t>
            </w:r>
            <w:r w:rsidR="00EE7A36" w:rsidRPr="00B17F26">
              <w:rPr>
                <w:i/>
              </w:rPr>
              <w:t>1</w:t>
            </w:r>
            <w:r w:rsidR="00D40BD2">
              <w:rPr>
                <w:i/>
              </w:rPr>
              <w:t>8</w:t>
            </w:r>
            <w:r w:rsidR="00EE7A36">
              <w:t xml:space="preserve"> </w:t>
            </w:r>
            <w:r>
              <w:t>;</w:t>
            </w:r>
          </w:p>
          <w:p w:rsidR="00E06AC9" w:rsidRDefault="00F53E0A">
            <w:pPr>
              <w:spacing w:after="59" w:line="259" w:lineRule="auto"/>
              <w:ind w:left="360" w:right="0" w:firstLine="0"/>
            </w:pPr>
            <w:r>
              <w:rPr>
                <w:b/>
                <w:u w:val="single" w:color="231F20"/>
              </w:rPr>
              <w:t>OU</w:t>
            </w:r>
          </w:p>
          <w:p w:rsidR="00E06AC9" w:rsidRDefault="00F53E0A">
            <w:pPr>
              <w:numPr>
                <w:ilvl w:val="0"/>
                <w:numId w:val="2"/>
              </w:numPr>
              <w:spacing w:after="23" w:line="275" w:lineRule="auto"/>
              <w:ind w:right="209" w:hanging="360"/>
            </w:pPr>
            <w:r>
              <w:t xml:space="preserve">le Répondant fait parvenir au Proposant l’engagement solennel et irrévocable, par écrit, à l’effet qu’il cesse immédiatement et abandonne définitivement toute action à l’encontre du Proposant ; </w:t>
            </w:r>
            <w:r>
              <w:rPr>
                <w:b/>
                <w:u w:val="single" w:color="231F20"/>
              </w:rPr>
              <w:t>Alors</w:t>
            </w:r>
            <w:r>
              <w:t xml:space="preserve"> cette facture sera annulée et aucun paiement ne sera requis. </w:t>
            </w:r>
          </w:p>
          <w:p w:rsidR="00E06AC9" w:rsidRDefault="00F53E0A">
            <w:pPr>
              <w:spacing w:after="218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57913" cy="9525"/>
                      <wp:effectExtent l="0" t="0" r="0" b="0"/>
                      <wp:docPr id="12389" name="Group 12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13" cy="9525"/>
                                <a:chOff x="0" y="0"/>
                                <a:chExt cx="6057913" cy="9525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60579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7913">
                                      <a:moveTo>
                                        <a:pt x="0" y="0"/>
                                      </a:moveTo>
                                      <a:lnTo>
                                        <a:pt x="6057913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225000" sp="30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9D511" id="Group 12389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">
                      <v:shape id="Shape 1172" o:spid="_x0000_s1027" style="position:absolute;width:60579;height:0;visibility:visible;mso-wrap-style:square;v-text-anchor:top" coordsize="6057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Hi8EA&#10;AADdAAAADwAAAGRycy9kb3ducmV2LnhtbERPS4vCMBC+C/6HMMLeNFVY162NIoKwpwUf6B6HZtoU&#10;m0lpoq3/3gjC3ubje0627m0t7tT6yrGC6SQBQZw7XXGp4HTcjRcgfEDWWDsmBQ/ysF4NBxmm2nW8&#10;p/shlCKGsE9RgQmhSaX0uSGLfuIa4sgVrrUYImxLqVvsYrit5SxJ5tJixbHBYENbQ/n1cLMKau/o&#10;c++6U3E0l+TXNN/nx19Q6mPUb5YgAvXhX/x2/+g4f/o1g9c38QS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h4vBAAAA3QAAAA8AAAAAAAAAAAAAAAAAmAIAAGRycy9kb3du&#10;cmV2LnhtbFBLBQYAAAAABAAEAPUAAACGAwAAAAA=&#10;" path="m,l6057913,e" filled="f">
                        <v:stroke endcap="round"/>
                        <v:path arrowok="t" textboxrect="0,0,6057913,0"/>
                      </v:shape>
                      <w10:anchorlock/>
                    </v:group>
                  </w:pict>
                </mc:Fallback>
              </mc:AlternateContent>
            </w:r>
          </w:p>
          <w:p w:rsidR="00E06AC9" w:rsidRDefault="00F53E0A">
            <w:pPr>
              <w:spacing w:after="40" w:line="259" w:lineRule="auto"/>
              <w:ind w:left="0" w:right="0" w:firstLine="0"/>
            </w:pPr>
            <w:r>
              <w:rPr>
                <w:b/>
                <w:u w:val="single" w:color="231F20"/>
              </w:rPr>
              <w:t>Conditions de paiement</w:t>
            </w:r>
            <w:r>
              <w:t xml:space="preserve"> : </w:t>
            </w:r>
          </w:p>
          <w:p w:rsidR="00E06AC9" w:rsidRDefault="00F53E0A">
            <w:pPr>
              <w:spacing w:after="0" w:line="259" w:lineRule="auto"/>
              <w:ind w:left="0" w:right="47" w:firstLine="0"/>
            </w:pPr>
            <w:r>
              <w:t xml:space="preserve">Cette facture est payable immédiatement. Le Proposant acceptera en guise de paiement la livraison de toutes pièces physiques au montant total stipulé ci-dessus par tout transporteur sécuritaire autorisé. </w:t>
            </w:r>
          </w:p>
        </w:tc>
      </w:tr>
    </w:tbl>
    <w:p w:rsidR="007F2250" w:rsidRDefault="007F2250" w:rsidP="00503C28">
      <w:pPr>
        <w:spacing w:after="0" w:line="259" w:lineRule="auto"/>
        <w:ind w:left="0" w:right="-659" w:firstLine="0"/>
      </w:pPr>
    </w:p>
    <w:sectPr w:rsidR="007F2250">
      <w:footerReference w:type="even" r:id="rId8"/>
      <w:footerReference w:type="default" r:id="rId9"/>
      <w:footerReference w:type="first" r:id="rId10"/>
      <w:pgSz w:w="12240" w:h="15840"/>
      <w:pgMar w:top="317" w:right="1440" w:bottom="1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30" w:rsidRDefault="008F2030">
      <w:pPr>
        <w:spacing w:after="0" w:line="240" w:lineRule="auto"/>
      </w:pPr>
      <w:r>
        <w:separator/>
      </w:r>
    </w:p>
  </w:endnote>
  <w:endnote w:type="continuationSeparator" w:id="0">
    <w:p w:rsidR="008F2030" w:rsidRDefault="008F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C9" w:rsidRDefault="00E06AC9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C9" w:rsidRDefault="00E06AC9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C9" w:rsidRDefault="00E06AC9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30" w:rsidRDefault="008F2030">
      <w:pPr>
        <w:spacing w:after="0" w:line="240" w:lineRule="auto"/>
      </w:pPr>
      <w:r>
        <w:separator/>
      </w:r>
    </w:p>
  </w:footnote>
  <w:footnote w:type="continuationSeparator" w:id="0">
    <w:p w:rsidR="008F2030" w:rsidRDefault="008F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50E"/>
    <w:multiLevelType w:val="multilevel"/>
    <w:tmpl w:val="2CF4ED70"/>
    <w:lvl w:ilvl="0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649BD"/>
    <w:multiLevelType w:val="hybridMultilevel"/>
    <w:tmpl w:val="3CD417F6"/>
    <w:lvl w:ilvl="0" w:tplc="76CC0258">
      <w:start w:val="1"/>
      <w:numFmt w:val="bullet"/>
      <w:lvlText w:val="-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20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E01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6C0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8A9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2D6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82B1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CAD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6607A"/>
    <w:multiLevelType w:val="hybridMultilevel"/>
    <w:tmpl w:val="C9C4E95A"/>
    <w:lvl w:ilvl="0" w:tplc="A61AD18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6ACE8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A500A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6916A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C932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DF5A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8E0B6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28644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6E20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9"/>
    <w:rsid w:val="000260AA"/>
    <w:rsid w:val="0009220C"/>
    <w:rsid w:val="0015027A"/>
    <w:rsid w:val="002972F9"/>
    <w:rsid w:val="004D2466"/>
    <w:rsid w:val="00503C28"/>
    <w:rsid w:val="00541CC5"/>
    <w:rsid w:val="005D0F98"/>
    <w:rsid w:val="007F2250"/>
    <w:rsid w:val="008F2030"/>
    <w:rsid w:val="00A871B0"/>
    <w:rsid w:val="00A97D8B"/>
    <w:rsid w:val="00B17F26"/>
    <w:rsid w:val="00BA4D3C"/>
    <w:rsid w:val="00BB624D"/>
    <w:rsid w:val="00C1292D"/>
    <w:rsid w:val="00D40BD2"/>
    <w:rsid w:val="00D40DFA"/>
    <w:rsid w:val="00D536B0"/>
    <w:rsid w:val="00D54082"/>
    <w:rsid w:val="00DE5F43"/>
    <w:rsid w:val="00DE5F4F"/>
    <w:rsid w:val="00E06AC9"/>
    <w:rsid w:val="00E84EC0"/>
    <w:rsid w:val="00EA209B"/>
    <w:rsid w:val="00EE7A36"/>
    <w:rsid w:val="00F53E0A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3B5C-1E16-4D33-9CF1-41C7A8C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10" w:right="1" w:hanging="10"/>
    </w:pPr>
    <w:rPr>
      <w:rFonts w:ascii="Arial" w:eastAsia="Arial" w:hAnsi="Arial" w:cs="Arial"/>
      <w:color w:val="231F2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3"/>
      </w:numPr>
      <w:spacing w:after="223" w:line="265" w:lineRule="auto"/>
      <w:ind w:left="10" w:hanging="10"/>
      <w:outlineLvl w:val="0"/>
    </w:pPr>
    <w:rPr>
      <w:rFonts w:ascii="Arial" w:eastAsia="Arial" w:hAnsi="Arial" w:cs="Arial"/>
      <w:b/>
      <w:color w:val="231F20"/>
      <w:sz w:val="24"/>
      <w:u w:val="single" w:color="231F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numPr>
        <w:ilvl w:val="1"/>
        <w:numId w:val="3"/>
      </w:numPr>
      <w:spacing w:after="84"/>
      <w:ind w:left="10" w:hanging="10"/>
      <w:outlineLvl w:val="1"/>
    </w:pPr>
    <w:rPr>
      <w:rFonts w:ascii="Arial" w:eastAsia="Arial" w:hAnsi="Arial" w:cs="Arial"/>
      <w:b/>
      <w:color w:val="231F2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numPr>
        <w:ilvl w:val="2"/>
        <w:numId w:val="3"/>
      </w:numPr>
      <w:spacing w:after="100"/>
      <w:ind w:left="730" w:hanging="10"/>
      <w:outlineLvl w:val="2"/>
    </w:pPr>
    <w:rPr>
      <w:rFonts w:ascii="Arial" w:eastAsia="Arial" w:hAnsi="Arial" w:cs="Arial"/>
      <w:b/>
      <w:color w:val="231F2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231F20"/>
      <w:sz w:val="20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231F2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231F20"/>
      <w:sz w:val="24"/>
      <w:u w:val="single" w:color="231F20"/>
    </w:rPr>
  </w:style>
  <w:style w:type="paragraph" w:styleId="TM1">
    <w:name w:val="toc 1"/>
    <w:hidden/>
    <w:pPr>
      <w:spacing w:after="137" w:line="249" w:lineRule="auto"/>
      <w:ind w:left="225" w:right="23" w:hanging="10"/>
    </w:pPr>
    <w:rPr>
      <w:rFonts w:ascii="Arial" w:eastAsia="Arial" w:hAnsi="Arial" w:cs="Arial"/>
      <w:color w:val="231F2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503C28"/>
    <w:pPr>
      <w:spacing w:after="0" w:line="240" w:lineRule="auto"/>
      <w:ind w:left="10" w:right="1" w:hanging="10"/>
    </w:pPr>
    <w:rPr>
      <w:rFonts w:ascii="Arial" w:eastAsia="Arial" w:hAnsi="Arial" w:cs="Arial"/>
      <w:color w:val="231F20"/>
      <w:sz w:val="20"/>
    </w:rPr>
  </w:style>
  <w:style w:type="character" w:styleId="Lienhypertexte">
    <w:name w:val="Hyperlink"/>
    <w:basedOn w:val="Policepardfaut"/>
    <w:uiPriority w:val="99"/>
    <w:unhideWhenUsed/>
    <w:rsid w:val="00D40B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24D"/>
    <w:rPr>
      <w:rFonts w:ascii="Arial" w:eastAsia="Arial" w:hAnsi="Arial" w:cs="Arial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untyfusion4.kofiletech.us/countyweb/login.do?countyname=Washington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Directives_Avis_Courtoisie_FR.doc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Directives_Avis_Courtoisie_FR.doc</dc:title>
  <dc:subject/>
  <dc:creator>Andre</dc:creator>
  <cp:keywords/>
  <cp:lastModifiedBy>Dorian</cp:lastModifiedBy>
  <cp:revision>3</cp:revision>
  <cp:lastPrinted>2018-04-16T19:51:00Z</cp:lastPrinted>
  <dcterms:created xsi:type="dcterms:W3CDTF">2018-04-16T22:32:00Z</dcterms:created>
  <dcterms:modified xsi:type="dcterms:W3CDTF">2018-04-16T22:33:00Z</dcterms:modified>
</cp:coreProperties>
</file>